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29663" w14:textId="74E09446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052390">
        <w:rPr>
          <w:rFonts w:ascii="Arial" w:hAnsi="Arial" w:cs="Arial"/>
          <w:b/>
          <w:sz w:val="24"/>
          <w:lang w:val="en-US"/>
        </w:rPr>
        <w:t>3GPP TSG-RAN</w:t>
      </w:r>
      <w:r w:rsidR="00983CC6">
        <w:rPr>
          <w:rFonts w:ascii="Arial" w:hAnsi="Arial" w:cs="Arial"/>
          <w:b/>
          <w:sz w:val="24"/>
          <w:lang w:val="en-US"/>
        </w:rPr>
        <w:t>5</w:t>
      </w:r>
      <w:r w:rsidRPr="00052390">
        <w:rPr>
          <w:rFonts w:ascii="Arial" w:hAnsi="Arial" w:cs="Arial"/>
          <w:b/>
          <w:sz w:val="24"/>
          <w:lang w:val="en-US"/>
        </w:rPr>
        <w:t xml:space="preserve"> Meeting #</w:t>
      </w:r>
      <w:r w:rsidR="00983CC6">
        <w:rPr>
          <w:rFonts w:ascii="Arial" w:hAnsi="Arial" w:cs="Arial"/>
          <w:b/>
          <w:sz w:val="24"/>
          <w:lang w:val="en-US"/>
        </w:rPr>
        <w:t>82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67121D" w:rsidRPr="0067121D">
        <w:rPr>
          <w:rFonts w:ascii="Arial" w:hAnsi="Arial" w:cs="Arial"/>
          <w:b/>
          <w:sz w:val="24"/>
          <w:lang w:val="en-US"/>
        </w:rPr>
        <w:t>R5-191623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A0C86">
        <w:rPr>
          <w:rFonts w:ascii="Arial" w:hAnsi="Arial" w:cs="Arial"/>
          <w:b/>
          <w:sz w:val="24"/>
        </w:rPr>
        <w:t>Athens</w:t>
      </w:r>
      <w:r w:rsidRPr="00DD1C07">
        <w:rPr>
          <w:rFonts w:ascii="Arial" w:hAnsi="Arial" w:cs="Arial"/>
          <w:b/>
          <w:sz w:val="24"/>
        </w:rPr>
        <w:t xml:space="preserve">, </w:t>
      </w:r>
      <w:r w:rsidR="008A0C86">
        <w:rPr>
          <w:rFonts w:ascii="Arial" w:hAnsi="Arial" w:cs="Arial"/>
          <w:b/>
          <w:sz w:val="24"/>
        </w:rPr>
        <w:t>Greece</w:t>
      </w:r>
      <w:r w:rsidRPr="00DD1C07">
        <w:rPr>
          <w:rFonts w:ascii="Arial" w:hAnsi="Arial" w:cs="Arial"/>
          <w:b/>
          <w:sz w:val="24"/>
        </w:rPr>
        <w:t xml:space="preserve">, </w:t>
      </w:r>
      <w:r w:rsidR="008A0C86" w:rsidRPr="008A0C86">
        <w:rPr>
          <w:rFonts w:ascii="Arial" w:hAnsi="Arial" w:cs="Arial"/>
          <w:b/>
          <w:sz w:val="24"/>
        </w:rPr>
        <w:t>25 Feb - 1 Mar 2019</w:t>
      </w:r>
    </w:p>
    <w:p w14:paraId="129008DE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AB0E944" w14:textId="6A2F26B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121D">
        <w:rPr>
          <w:rFonts w:ascii="Arial" w:hAnsi="Arial" w:cs="Arial"/>
          <w:sz w:val="24"/>
          <w:szCs w:val="24"/>
        </w:rPr>
        <w:t>5.3.8.17</w:t>
      </w:r>
    </w:p>
    <w:p w14:paraId="2FF1AD85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659A9CA8" w14:textId="0626F0B4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121D" w:rsidRPr="0067121D">
        <w:rPr>
          <w:rFonts w:ascii="Arial" w:hAnsi="Arial" w:cs="Arial"/>
          <w:sz w:val="24"/>
          <w:szCs w:val="24"/>
        </w:rPr>
        <w:t>On Re-Repositioning Approach for Spurious Emission QoQZ Validation</w:t>
      </w:r>
    </w:p>
    <w:p w14:paraId="7778D4F6" w14:textId="0642C60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6444" w:rsidRPr="0067121D">
        <w:rPr>
          <w:rFonts w:ascii="Arial" w:hAnsi="Arial" w:cs="Arial"/>
          <w:sz w:val="24"/>
          <w:szCs w:val="24"/>
        </w:rPr>
        <w:t>Discussion and Endorsement</w:t>
      </w:r>
    </w:p>
    <w:p w14:paraId="718ECBD6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0E2ED54B" w14:textId="149C8D01" w:rsidR="000606FD" w:rsidRDefault="0067121D" w:rsidP="000606FD">
      <w:pPr>
        <w:ind w:left="48"/>
        <w:rPr>
          <w:rFonts w:eastAsia="Batang"/>
        </w:rPr>
      </w:pPr>
      <w:r>
        <w:rPr>
          <w:rFonts w:eastAsia="Batang"/>
        </w:rPr>
        <w:t xml:space="preserve">One of the last remaining issues </w:t>
      </w:r>
      <w:r w:rsidR="00F43656">
        <w:rPr>
          <w:rFonts w:eastAsia="Batang"/>
        </w:rPr>
        <w:t>related to</w:t>
      </w:r>
      <w:r>
        <w:rPr>
          <w:rFonts w:eastAsia="Batang"/>
        </w:rPr>
        <w:t xml:space="preserve"> the QoQZ procedure for spurious emissions is the question whether the re-positioning concept can be applied to the validation procedure and the actual spurious emission test cases. This contribution is taking a closer look at the </w:t>
      </w:r>
      <w:r w:rsidR="00F43656">
        <w:rPr>
          <w:rFonts w:eastAsia="Batang"/>
        </w:rPr>
        <w:t xml:space="preserve">MU </w:t>
      </w:r>
      <w:r>
        <w:rPr>
          <w:rFonts w:eastAsia="Batang"/>
        </w:rPr>
        <w:t xml:space="preserve">impact.  </w:t>
      </w:r>
    </w:p>
    <w:p w14:paraId="35B95E29" w14:textId="12B5046C" w:rsidR="0053435C" w:rsidRDefault="0067121D" w:rsidP="0053435C">
      <w:pPr>
        <w:pStyle w:val="Heading1"/>
        <w:ind w:left="567" w:hanging="567"/>
      </w:pPr>
      <w:r>
        <w:t>Re-Positioning Concept for Spurious Emissions</w:t>
      </w:r>
    </w:p>
    <w:bookmarkEnd w:id="0"/>
    <w:p w14:paraId="765111EA" w14:textId="72139379" w:rsidR="008428AB" w:rsidRDefault="0067121D" w:rsidP="008428AB">
      <w:r>
        <w:t>The re-positioning concept for in-band measurements has been discussed</w:t>
      </w:r>
      <w:r w:rsidR="00F43656">
        <w:t xml:space="preserve"> and</w:t>
      </w:r>
      <w:r>
        <w:t xml:space="preserve"> agreed in Annex C.3 of </w:t>
      </w:r>
      <w:r>
        <w:fldChar w:fldCharType="begin"/>
      </w:r>
      <w:r>
        <w:instrText xml:space="preserve"> REF _Ref521398402 \r \h </w:instrText>
      </w:r>
      <w:r>
        <w:fldChar w:fldCharType="separate"/>
      </w:r>
      <w:r>
        <w:t>[1]</w:t>
      </w:r>
      <w:r>
        <w:fldChar w:fldCharType="end"/>
      </w:r>
      <w:r>
        <w:t xml:space="preserve">. While for in-band measurements, the beam peak direction </w:t>
      </w:r>
      <w:r w:rsidR="008428AB">
        <w:t xml:space="preserve">is known, the beam peak of the spur is not known, i.e., no beam peak search procedure has been defined. </w:t>
      </w:r>
      <w:r w:rsidR="008428AB">
        <w:t>In lieu of searching for the peak a priori, the re-positioning concept can still be applied</w:t>
      </w:r>
      <w:r w:rsidR="008428AB">
        <w:t xml:space="preserve"> to the spurious emissions measurements by measuring two hemispheres </w:t>
      </w:r>
      <w:r w:rsidR="005A195F">
        <w:t xml:space="preserve">separately </w:t>
      </w:r>
      <w:r w:rsidR="008428AB">
        <w:t>which involves the DUT, while it is connected to the gNB, to be rotated by 180</w:t>
      </w:r>
      <w:r w:rsidR="008428AB" w:rsidRPr="008428AB">
        <w:rPr>
          <w:vertAlign w:val="superscript"/>
        </w:rPr>
        <w:t>o</w:t>
      </w:r>
      <w:r w:rsidR="009B5A02">
        <w:t xml:space="preserve"> around its axis halfway through the test. </w:t>
      </w:r>
      <w:r w:rsidR="008428AB">
        <w:t xml:space="preserve"> </w:t>
      </w:r>
    </w:p>
    <w:p w14:paraId="1B4F888F" w14:textId="63E48D71" w:rsidR="006629B5" w:rsidRDefault="0067121D" w:rsidP="00FB7933">
      <w:r>
        <w:t>Th</w:t>
      </w:r>
      <w:r w:rsidR="008428AB">
        <w:t xml:space="preserve">is has been captured and illustrated in the following slide of the WF from the last meeting </w:t>
      </w:r>
      <w:r w:rsidR="008428AB">
        <w:fldChar w:fldCharType="begin"/>
      </w:r>
      <w:r w:rsidR="008428AB">
        <w:instrText xml:space="preserve"> REF _Ref1137222 \r \h </w:instrText>
      </w:r>
      <w:r w:rsidR="008428AB">
        <w:fldChar w:fldCharType="separate"/>
      </w:r>
      <w:r w:rsidR="008428AB">
        <w:t>[2]</w:t>
      </w:r>
      <w:r w:rsidR="008428AB">
        <w:fldChar w:fldCharType="end"/>
      </w:r>
      <w:r w:rsidR="008428AB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28AB" w14:paraId="5FE90750" w14:textId="77777777" w:rsidTr="008428AB">
        <w:tc>
          <w:tcPr>
            <w:tcW w:w="9631" w:type="dxa"/>
          </w:tcPr>
          <w:p w14:paraId="0D21ACA6" w14:textId="09CA6BF2" w:rsidR="008428AB" w:rsidRDefault="008428AB" w:rsidP="00FB7933">
            <w:r w:rsidRPr="0067121D">
              <w:drawing>
                <wp:inline distT="0" distB="0" distL="0" distR="0" wp14:anchorId="359BDB43" wp14:editId="37376398">
                  <wp:extent cx="6096000" cy="274861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b="19842"/>
                          <a:stretch/>
                        </pic:blipFill>
                        <pic:spPr bwMode="auto">
                          <a:xfrm>
                            <a:off x="0" y="0"/>
                            <a:ext cx="6096528" cy="27488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F1A248" w14:textId="464CF267" w:rsidR="0067121D" w:rsidRDefault="0067121D" w:rsidP="00FB7933"/>
    <w:p w14:paraId="10FC373B" w14:textId="21729F21" w:rsidR="009B5A02" w:rsidRDefault="009B5A02" w:rsidP="00FB7933">
      <w:r>
        <w:t>Concerns were voiced that during the device re-positioning, connectivity issues could arise</w:t>
      </w:r>
      <w:r w:rsidR="005A195F">
        <w:t xml:space="preserve"> because the in-band beam is locked. A</w:t>
      </w:r>
      <w:r>
        <w:t xml:space="preserve"> call drop, </w:t>
      </w:r>
      <w:r w:rsidR="005A195F">
        <w:t xml:space="preserve">for instance, </w:t>
      </w:r>
      <w:r>
        <w:t xml:space="preserve">could result in longer test and setup times. </w:t>
      </w:r>
      <w:r w:rsidR="008013C7">
        <w:t>These connectivity issues</w:t>
      </w:r>
      <w:r w:rsidR="005A195F">
        <w:t>, however,</w:t>
      </w:r>
      <w:r w:rsidR="008013C7">
        <w:t xml:space="preserve"> should largely depend on the link antenna architecture. Suitable link antenna implementations should remedy this connectivity problem.</w:t>
      </w:r>
    </w:p>
    <w:p w14:paraId="4EA09E19" w14:textId="330A2A47" w:rsidR="008013C7" w:rsidRDefault="008013C7" w:rsidP="008013C7">
      <w:pPr>
        <w:pStyle w:val="Caption"/>
      </w:pPr>
      <w:bookmarkStart w:id="1" w:name="_Ref114499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106FA">
        <w:rPr>
          <w:noProof/>
        </w:rPr>
        <w:t>1</w:t>
      </w:r>
      <w:r>
        <w:fldChar w:fldCharType="end"/>
      </w:r>
      <w:r>
        <w:t xml:space="preserve">: </w:t>
      </w:r>
      <w:r>
        <w:t>Suitable link antenna implementations should remedy th</w:t>
      </w:r>
      <w:r>
        <w:t>e</w:t>
      </w:r>
      <w:r>
        <w:t xml:space="preserve"> connectivity proble</w:t>
      </w:r>
      <w:r w:rsidR="005A195F">
        <w:t>m highlighted as the reason against the re-positioning approach</w:t>
      </w:r>
      <w:bookmarkEnd w:id="1"/>
      <w:r w:rsidR="005A195F">
        <w:t xml:space="preserve"> for spurious emissions </w:t>
      </w:r>
    </w:p>
    <w:p w14:paraId="0970AB02" w14:textId="13BF0ECC" w:rsidR="008013C7" w:rsidRPr="008013C7" w:rsidRDefault="008013C7" w:rsidP="008013C7">
      <w:r>
        <w:lastRenderedPageBreak/>
        <w:t>Not accepting the device repositioning concept will result in QoQZ tests that need to be performed with the reference antenna in the forward and backward facing direction</w:t>
      </w:r>
      <w:r w:rsidR="00086DA8">
        <w:t xml:space="preserve">, as outlined in the following slide of the WF </w:t>
      </w:r>
      <w:r w:rsidR="00086DA8">
        <w:fldChar w:fldCharType="begin"/>
      </w:r>
      <w:r w:rsidR="00086DA8">
        <w:instrText xml:space="preserve"> REF _Ref1137222 \r \h </w:instrText>
      </w:r>
      <w:r w:rsidR="00086DA8">
        <w:fldChar w:fldCharType="separate"/>
      </w:r>
      <w:r w:rsidR="00086DA8">
        <w:t>[2]</w:t>
      </w:r>
      <w:r w:rsidR="00086DA8"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A02" w14:paraId="4C9D05C7" w14:textId="77777777" w:rsidTr="009B5A02">
        <w:tc>
          <w:tcPr>
            <w:tcW w:w="9631" w:type="dxa"/>
          </w:tcPr>
          <w:p w14:paraId="66BBC5B8" w14:textId="34944B4C" w:rsidR="009B5A02" w:rsidRDefault="009B5A02" w:rsidP="00FB7933">
            <w:r w:rsidRPr="009B5A02">
              <w:drawing>
                <wp:inline distT="0" distB="0" distL="0" distR="0" wp14:anchorId="381960E0" wp14:editId="40A6490B">
                  <wp:extent cx="6096528" cy="342929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528" cy="3429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DF62E2" w14:textId="0213AD71" w:rsidR="009B5A02" w:rsidRDefault="00086DA8" w:rsidP="00FB7933">
      <w:r>
        <w:t xml:space="preserve">When placed in the </w:t>
      </w:r>
      <w:r>
        <w:t>forward-facing orientation</w:t>
      </w:r>
      <w:r>
        <w:t>, the directive antenna with min HPBW of 20</w:t>
      </w:r>
      <w:r w:rsidRPr="008013C7">
        <w:rPr>
          <w:vertAlign w:val="superscript"/>
        </w:rPr>
        <w:t>o</w:t>
      </w:r>
      <w:r>
        <w:t xml:space="preserve"> will not face support structures and antenna masts; however, when the antenna is facing backward, the directive beam might very well be absorbed by those support and positioner structures which could result in a very large measurement </w:t>
      </w:r>
      <w:r>
        <w:t xml:space="preserve">uncertainty </w:t>
      </w:r>
      <w:r>
        <w:t>impact.</w:t>
      </w:r>
    </w:p>
    <w:p w14:paraId="3E961A45" w14:textId="526DEB92" w:rsidR="00086DA8" w:rsidRDefault="00086DA8" w:rsidP="00086DA8">
      <w:pPr>
        <w:pStyle w:val="Heading1"/>
        <w:ind w:left="567" w:hanging="567"/>
      </w:pPr>
      <w:r>
        <w:t>Effect of Re-Positioning on MU</w:t>
      </w:r>
    </w:p>
    <w:p w14:paraId="46B04823" w14:textId="77777777" w:rsidR="005A195F" w:rsidRDefault="00086DA8" w:rsidP="00086DA8">
      <w:r>
        <w:t xml:space="preserve">The effect of the re-positioning concept on the MU is estimated with in-band QoQZ measurements in an IFF system with 15cm quiet zone </w:t>
      </w:r>
      <w:r>
        <w:fldChar w:fldCharType="begin"/>
      </w:r>
      <w:r>
        <w:instrText xml:space="preserve"> REF _Ref534372346 \r \h </w:instrText>
      </w:r>
      <w:r>
        <w:fldChar w:fldCharType="separate"/>
      </w:r>
      <w:r>
        <w:t>[3]</w:t>
      </w:r>
      <w:r>
        <w:fldChar w:fldCharType="end"/>
      </w:r>
      <w:r w:rsidR="005A195F">
        <w:t xml:space="preserve"> that were originally performed with and without the re-positioning concept for in-band measurements</w:t>
      </w:r>
      <w:r w:rsidR="000F4379">
        <w:t xml:space="preserve">. </w:t>
      </w:r>
    </w:p>
    <w:p w14:paraId="5DF331EE" w14:textId="3A94EAFA" w:rsidR="00086DA8" w:rsidRDefault="000F4379" w:rsidP="00086DA8">
      <w:r>
        <w:t>For a combined-ax</w:t>
      </w:r>
      <w:r w:rsidR="005A195F">
        <w:t>e</w:t>
      </w:r>
      <w:r>
        <w:t>s system and with the device re-positioning concept agreed, a total of 14 measurements would be required, i.e., TRP at 7 reference positions with the reference antenna alig</w:t>
      </w:r>
      <w:r w:rsidR="00771F4B">
        <w:t xml:space="preserve">ned to two principal polarizations. The 7 different positions </w:t>
      </w:r>
      <w:r w:rsidR="005A195F">
        <w:t>with antennas (in red) in</w:t>
      </w:r>
      <w:r w:rsidR="00771F4B">
        <w:t xml:space="preserve"> the forward-facing direction </w:t>
      </w:r>
      <w:r w:rsidR="005A195F">
        <w:t>are</w:t>
      </w:r>
      <w:r w:rsidR="00771F4B">
        <w:t xml:space="preserve"> illustrated in </w:t>
      </w:r>
      <w:r w:rsidR="00771F4B">
        <w:fldChar w:fldCharType="begin"/>
      </w:r>
      <w:r w:rsidR="00771F4B">
        <w:instrText xml:space="preserve"> REF _Ref1139984 \h </w:instrText>
      </w:r>
      <w:r w:rsidR="00771F4B">
        <w:fldChar w:fldCharType="separate"/>
      </w:r>
      <w:r w:rsidR="00771F4B">
        <w:t xml:space="preserve">Figure </w:t>
      </w:r>
      <w:r w:rsidR="00771F4B">
        <w:rPr>
          <w:noProof/>
        </w:rPr>
        <w:t>1</w:t>
      </w:r>
      <w:r w:rsidR="00771F4B">
        <w:fldChar w:fldCharType="end"/>
      </w:r>
      <w:r w:rsidR="00771F4B">
        <w:t xml:space="preserve">. </w:t>
      </w:r>
    </w:p>
    <w:p w14:paraId="64806CF5" w14:textId="5E03D0B8" w:rsidR="000F4379" w:rsidRDefault="000F4379" w:rsidP="0022797C">
      <w:pPr>
        <w:spacing w:after="0"/>
        <w:jc w:val="center"/>
      </w:pPr>
      <w:r>
        <w:rPr>
          <w:noProof/>
        </w:rPr>
        <w:drawing>
          <wp:inline distT="0" distB="0" distL="0" distR="0" wp14:anchorId="191C950D" wp14:editId="3C45903B">
            <wp:extent cx="4572000" cy="24220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2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CA740" w14:textId="7B723A39" w:rsidR="000F4379" w:rsidRDefault="000F4379" w:rsidP="0022797C">
      <w:pPr>
        <w:pStyle w:val="Caption"/>
        <w:spacing w:after="0"/>
        <w:jc w:val="center"/>
        <w:rPr>
          <w:noProof/>
        </w:rPr>
      </w:pPr>
      <w:bookmarkStart w:id="2" w:name="_Ref11399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05630">
        <w:rPr>
          <w:noProof/>
        </w:rPr>
        <w:t>1</w:t>
      </w:r>
      <w:r>
        <w:fldChar w:fldCharType="end"/>
      </w:r>
      <w:bookmarkEnd w:id="2"/>
      <w:r>
        <w:rPr>
          <w:noProof/>
        </w:rPr>
        <w:t>: Reference Antenna Setup for the combined-axes system and the re-positioning concept approach accepted, i.e., forward-facing direction only.</w:t>
      </w:r>
    </w:p>
    <w:p w14:paraId="7385DB42" w14:textId="316A7E9D" w:rsidR="00771F4B" w:rsidRDefault="00771F4B" w:rsidP="00771F4B">
      <w:r>
        <w:lastRenderedPageBreak/>
        <w:t>For the same system and with the device re-positioning concept not agree</w:t>
      </w:r>
      <w:r w:rsidR="005A195F">
        <w:t>d</w:t>
      </w:r>
      <w:r>
        <w:t>, another set of 14 measurements would have to be added with the reference antenna</w:t>
      </w:r>
      <w:r w:rsidR="005A195F">
        <w:t>s</w:t>
      </w:r>
      <w:r>
        <w:t xml:space="preserve"> facing backwards which is illustrated in </w:t>
      </w:r>
      <w:r w:rsidR="005A195F">
        <w:fldChar w:fldCharType="begin"/>
      </w:r>
      <w:r w:rsidR="005A195F">
        <w:instrText xml:space="preserve"> REF _Ref1145716 \h </w:instrText>
      </w:r>
      <w:r w:rsidR="005A195F">
        <w:fldChar w:fldCharType="separate"/>
      </w:r>
      <w:r w:rsidR="005A195F">
        <w:t xml:space="preserve">Figure </w:t>
      </w:r>
      <w:r w:rsidR="005A195F">
        <w:rPr>
          <w:noProof/>
        </w:rPr>
        <w:t>2</w:t>
      </w:r>
      <w:r w:rsidR="005A195F">
        <w:fldChar w:fldCharType="end"/>
      </w:r>
    </w:p>
    <w:p w14:paraId="3DC07EDD" w14:textId="440C0E52" w:rsidR="00771F4B" w:rsidRDefault="00771F4B" w:rsidP="0022797C">
      <w:pPr>
        <w:spacing w:after="0"/>
        <w:jc w:val="center"/>
      </w:pPr>
      <w:r>
        <w:rPr>
          <w:noProof/>
        </w:rPr>
        <w:drawing>
          <wp:inline distT="0" distB="0" distL="0" distR="0" wp14:anchorId="4AE1C8E1" wp14:editId="116C2943">
            <wp:extent cx="4572000" cy="24220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2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565376" w14:textId="03EFFD46" w:rsidR="00771F4B" w:rsidRDefault="00771F4B" w:rsidP="0022797C">
      <w:pPr>
        <w:pStyle w:val="Caption"/>
        <w:spacing w:after="0"/>
        <w:jc w:val="center"/>
      </w:pPr>
      <w:bookmarkStart w:id="3" w:name="_Ref11457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05630">
        <w:rPr>
          <w:noProof/>
        </w:rPr>
        <w:t>2</w:t>
      </w:r>
      <w:r>
        <w:fldChar w:fldCharType="end"/>
      </w:r>
      <w:bookmarkEnd w:id="3"/>
      <w:r>
        <w:t xml:space="preserve">: </w:t>
      </w:r>
      <w:r w:rsidRPr="005F42FE">
        <w:t>Reference Antenna Setup for the combined-axes system</w:t>
      </w:r>
      <w:r>
        <w:t>; only the additional reference antenna orientations (backward facing) are shown that would be required if the re-positioning concept was not allowed.</w:t>
      </w:r>
    </w:p>
    <w:p w14:paraId="46C784E8" w14:textId="77777777" w:rsidR="005A195F" w:rsidRDefault="005A195F" w:rsidP="00EC3B6B"/>
    <w:p w14:paraId="64723D9F" w14:textId="5FB5A043" w:rsidR="00EC3B6B" w:rsidRDefault="00EC3B6B" w:rsidP="00EC3B6B">
      <w:r>
        <w:t>The QoQZ measurements</w:t>
      </w:r>
      <w:r w:rsidR="005A195F">
        <w:t xml:space="preserve"> performed in </w:t>
      </w:r>
      <w:r w:rsidR="005A195F">
        <w:fldChar w:fldCharType="begin"/>
      </w:r>
      <w:r w:rsidR="005A195F">
        <w:instrText xml:space="preserve"> REF _Ref534372346 \n \h </w:instrText>
      </w:r>
      <w:r w:rsidR="005A195F">
        <w:fldChar w:fldCharType="separate"/>
      </w:r>
      <w:r w:rsidR="005A195F">
        <w:t>[3]</w:t>
      </w:r>
      <w:r w:rsidR="005A195F">
        <w:fldChar w:fldCharType="end"/>
      </w:r>
      <w:r w:rsidR="00D05630">
        <w:t>, however, did not include TRP measurements with the reference antenna facing in the backward direction</w:t>
      </w:r>
      <w:r w:rsidR="005A195F">
        <w:t>, i.e., directly facing the positioner</w:t>
      </w:r>
      <w:r w:rsidR="00D05630">
        <w:t>. How</w:t>
      </w:r>
      <w:r w:rsidR="001A52FD">
        <w:t>ever, to demonstrate the increase in MU, the following interpolation approach is used: the TRP for the backward direction (</w:t>
      </w:r>
      <w:r w:rsidR="001A52FD" w:rsidRPr="001A52FD">
        <w:rPr>
          <w:rFonts w:ascii="Symbol" w:hAnsi="Symbol"/>
        </w:rPr>
        <w:t></w:t>
      </w:r>
      <w:r w:rsidR="001A52FD">
        <w:t>=180</w:t>
      </w:r>
      <w:r w:rsidR="001A52FD" w:rsidRPr="001A52FD">
        <w:rPr>
          <w:vertAlign w:val="superscript"/>
        </w:rPr>
        <w:t>o</w:t>
      </w:r>
      <w:r w:rsidR="001A52FD">
        <w:t xml:space="preserve">) is estimated by an interpolation of the TRPs </w:t>
      </w:r>
      <w:r w:rsidR="0022797C">
        <w:t xml:space="preserve">with in adjacent orientations, i.e., the antenna orientations at </w:t>
      </w:r>
      <w:r w:rsidR="0022797C" w:rsidRPr="001A52FD">
        <w:rPr>
          <w:rFonts w:ascii="Symbol" w:hAnsi="Symbol"/>
        </w:rPr>
        <w:t></w:t>
      </w:r>
      <w:r w:rsidR="0022797C">
        <w:t>=</w:t>
      </w:r>
      <w:r w:rsidR="0022797C">
        <w:t>135</w:t>
      </w:r>
      <w:r w:rsidR="0022797C" w:rsidRPr="001A52FD">
        <w:rPr>
          <w:vertAlign w:val="superscript"/>
        </w:rPr>
        <w:t>o</w:t>
      </w:r>
      <w:r w:rsidR="0022797C">
        <w:t xml:space="preserve"> and </w:t>
      </w:r>
      <w:r w:rsidR="0022797C" w:rsidRPr="001A52FD">
        <w:rPr>
          <w:rFonts w:ascii="Symbol" w:hAnsi="Symbol"/>
        </w:rPr>
        <w:t></w:t>
      </w:r>
      <w:r w:rsidR="0022797C">
        <w:t>=</w:t>
      </w:r>
      <w:r w:rsidR="0022797C">
        <w:t>225</w:t>
      </w:r>
      <w:r w:rsidR="0022797C" w:rsidRPr="001A52FD">
        <w:rPr>
          <w:vertAlign w:val="superscript"/>
        </w:rPr>
        <w:t>o</w:t>
      </w:r>
      <w:r w:rsidR="0022797C" w:rsidRPr="0022797C">
        <w:t xml:space="preserve">. </w:t>
      </w:r>
      <w:r w:rsidR="005A195F">
        <w:t xml:space="preserve">This is further illustrated in </w:t>
      </w:r>
      <w:r w:rsidR="005A195F">
        <w:fldChar w:fldCharType="begin"/>
      </w:r>
      <w:r w:rsidR="005A195F">
        <w:instrText xml:space="preserve"> REF _Ref1145827 \h </w:instrText>
      </w:r>
      <w:r w:rsidR="005A195F">
        <w:fldChar w:fldCharType="separate"/>
      </w:r>
      <w:r w:rsidR="005A195F">
        <w:t xml:space="preserve">Figure </w:t>
      </w:r>
      <w:r w:rsidR="005A195F">
        <w:rPr>
          <w:noProof/>
        </w:rPr>
        <w:t>3</w:t>
      </w:r>
      <w:r w:rsidR="005A195F">
        <w:fldChar w:fldCharType="end"/>
      </w:r>
      <w:r w:rsidR="005A195F">
        <w:t xml:space="preserve"> when looking at 5 reference position on the </w:t>
      </w:r>
      <w:r w:rsidR="005A195F" w:rsidRPr="005A195F">
        <w:rPr>
          <w:i/>
        </w:rPr>
        <w:t>xz</w:t>
      </w:r>
      <w:r w:rsidR="005A195F">
        <w:t xml:space="preserve"> plane from the top. </w:t>
      </w:r>
      <w:r w:rsidR="0022797C">
        <w:t xml:space="preserve">It can be assumed that the </w:t>
      </w:r>
      <w:r w:rsidR="0022797C" w:rsidRPr="0022797C">
        <w:t>TRP(</w:t>
      </w:r>
      <w:r w:rsidR="0022797C" w:rsidRPr="0022797C">
        <w:rPr>
          <w:rFonts w:ascii="Symbol" w:hAnsi="Symbol"/>
        </w:rPr>
        <w:t></w:t>
      </w:r>
      <w:r w:rsidR="0022797C" w:rsidRPr="0022797C">
        <w:t>=180</w:t>
      </w:r>
      <w:r w:rsidR="0022797C" w:rsidRPr="0022797C">
        <w:rPr>
          <w:vertAlign w:val="superscript"/>
        </w:rPr>
        <w:t>o</w:t>
      </w:r>
      <w:r w:rsidR="0022797C" w:rsidRPr="0022797C">
        <w:t>)</w:t>
      </w:r>
      <w:r w:rsidR="0022797C">
        <w:t xml:space="preserve"> is smaller than </w:t>
      </w:r>
      <w:r w:rsidR="0022797C" w:rsidRPr="0022797C">
        <w:t>TRP(</w:t>
      </w:r>
      <w:r w:rsidR="0022797C" w:rsidRPr="0022797C">
        <w:rPr>
          <w:rFonts w:ascii="Symbol" w:hAnsi="Symbol"/>
        </w:rPr>
        <w:t></w:t>
      </w:r>
      <w:r w:rsidR="0022797C" w:rsidRPr="0022797C">
        <w:t>=</w:t>
      </w:r>
      <w:r w:rsidR="0022797C">
        <w:t>135</w:t>
      </w:r>
      <w:r w:rsidR="0022797C" w:rsidRPr="0022797C">
        <w:rPr>
          <w:vertAlign w:val="superscript"/>
        </w:rPr>
        <w:t>o</w:t>
      </w:r>
      <w:r w:rsidR="0022797C" w:rsidRPr="0022797C">
        <w:t>)</w:t>
      </w:r>
      <w:r w:rsidR="0022797C">
        <w:t xml:space="preserve"> and </w:t>
      </w:r>
      <w:r w:rsidR="0022797C" w:rsidRPr="0022797C">
        <w:t>TRP(</w:t>
      </w:r>
      <w:r w:rsidR="0022797C" w:rsidRPr="0022797C">
        <w:rPr>
          <w:rFonts w:ascii="Symbol" w:hAnsi="Symbol"/>
        </w:rPr>
        <w:t></w:t>
      </w:r>
      <w:r w:rsidR="0022797C" w:rsidRPr="0022797C">
        <w:t>=</w:t>
      </w:r>
      <w:r w:rsidR="0022797C">
        <w:t>225</w:t>
      </w:r>
      <w:r w:rsidR="0022797C" w:rsidRPr="0022797C">
        <w:rPr>
          <w:vertAlign w:val="superscript"/>
        </w:rPr>
        <w:t>o</w:t>
      </w:r>
      <w:r w:rsidR="0022797C" w:rsidRPr="0022797C">
        <w:t>)</w:t>
      </w:r>
      <w:r w:rsidR="0022797C">
        <w:t xml:space="preserve"> as more radiation is absorbed by the support and positioner structures. </w:t>
      </w:r>
    </w:p>
    <w:p w14:paraId="3B25C384" w14:textId="05D155F8" w:rsidR="00D05630" w:rsidRDefault="001A52FD" w:rsidP="0022797C">
      <w:pPr>
        <w:spacing w:after="0"/>
        <w:jc w:val="center"/>
      </w:pPr>
      <w:r>
        <w:rPr>
          <w:noProof/>
        </w:rPr>
        <w:drawing>
          <wp:inline distT="0" distB="0" distL="0" distR="0" wp14:anchorId="6922B733" wp14:editId="6B3ED7CE">
            <wp:extent cx="3200400" cy="27705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77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D80C9" w14:textId="3E704BC7" w:rsidR="00D05630" w:rsidRDefault="00D05630" w:rsidP="0022797C">
      <w:pPr>
        <w:pStyle w:val="Caption"/>
        <w:spacing w:after="0"/>
        <w:jc w:val="center"/>
      </w:pPr>
      <w:bookmarkStart w:id="4" w:name="_Ref11458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>: Interpolation of the TRPs for the backward-facing orientation</w:t>
      </w:r>
    </w:p>
    <w:p w14:paraId="7517F47F" w14:textId="330B98DC" w:rsidR="00F24FCD" w:rsidRDefault="00F24FCD" w:rsidP="00F24FCD"/>
    <w:p w14:paraId="5EF3F8FA" w14:textId="75BF6F99" w:rsidR="00F24FCD" w:rsidRPr="00F24FCD" w:rsidRDefault="00F24FCD" w:rsidP="00F24FCD">
      <w:r>
        <w:t xml:space="preserve">The results are tabulated in </w:t>
      </w:r>
      <w:r>
        <w:fldChar w:fldCharType="begin"/>
      </w:r>
      <w:r>
        <w:instrText xml:space="preserve"> REF _Ref1142867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for the three in-band QoQZ frequencies (23.45GHz, 32,125GHz, and 40.8GHz). As expected, the resulting MU (standard deviation of the measured/interpolated TRPs) is increasing</w:t>
      </w:r>
      <w:r w:rsidR="00E23132">
        <w:t xml:space="preserve"> significantly when the required antennas are required to face backward</w:t>
      </w:r>
      <w:r>
        <w:t>. The difference for the set of 7 positions is about 1dB and for the reference position</w:t>
      </w:r>
      <w:r w:rsidR="00E23132">
        <w:t>, P1,</w:t>
      </w:r>
      <w:r>
        <w:t xml:space="preserve"> at the centre of the QZ the difference is about 0.7dB (based on a very small data set</w:t>
      </w:r>
      <w:r w:rsidR="00E23132">
        <w:t xml:space="preserve"> though</w:t>
      </w:r>
      <w:r>
        <w:t xml:space="preserve">). </w:t>
      </w:r>
      <w:r w:rsidR="003D3C73">
        <w:t>While the maximum spread between max and min TRPs is ~1.5dB for the data set with the re-positioning approach, the spread is ~8dB for the data set without the re-positioning approach. Even larger differences and MU impact should be</w:t>
      </w:r>
      <w:r w:rsidR="005106FA">
        <w:t xml:space="preserve"> expected for when the reference antenna is facing the positioner directly and when even more directive reference antennas are used with HPBWs of ~20</w:t>
      </w:r>
      <w:r w:rsidR="005106FA" w:rsidRPr="005106FA">
        <w:rPr>
          <w:vertAlign w:val="superscript"/>
        </w:rPr>
        <w:t>o</w:t>
      </w:r>
      <w:r w:rsidR="005106FA">
        <w:t xml:space="preserve">. </w:t>
      </w:r>
    </w:p>
    <w:p w14:paraId="1BC4950F" w14:textId="74683D04" w:rsidR="0022797C" w:rsidRDefault="0022797C" w:rsidP="0022797C">
      <w:pPr>
        <w:pStyle w:val="Caption"/>
        <w:jc w:val="center"/>
      </w:pPr>
      <w:bookmarkStart w:id="5" w:name="_Ref114286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QoQZ Results</w:t>
      </w:r>
      <w:r w:rsidR="005A195F">
        <w:t xml:space="preserve"> for spurious emissions</w:t>
      </w:r>
      <w:r>
        <w:t xml:space="preserve"> (std. deviation of TRPs)</w:t>
      </w:r>
      <w:r w:rsidR="00E23132">
        <w:t>. Results for i</w:t>
      </w:r>
      <w:r>
        <w:t>n-</w:t>
      </w:r>
      <w:r w:rsidR="00E23132">
        <w:t>b</w:t>
      </w:r>
      <w:r>
        <w:t xml:space="preserve">and </w:t>
      </w:r>
      <w:r w:rsidR="00E23132">
        <w:t>f</w:t>
      </w:r>
      <w:r>
        <w:t>requencies</w:t>
      </w:r>
      <w:r w:rsidR="00E23132">
        <w:t xml:space="preserve"> only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2324"/>
        <w:gridCol w:w="3034"/>
        <w:gridCol w:w="3225"/>
      </w:tblGrid>
      <w:tr w:rsidR="0022797C" w:rsidRPr="0022797C" w14:paraId="69C251E2" w14:textId="77777777" w:rsidTr="0022797C">
        <w:trPr>
          <w:trHeight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BED3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Positions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6038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QoQZ Test Frequencies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30EC4" w14:textId="77777777" w:rsid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With re-positioning (14 TRP Measurements)</w:t>
            </w:r>
          </w:p>
          <w:p w14:paraId="05CF2DB2" w14:textId="75241C93" w:rsidR="00F24FCD" w:rsidRPr="0022797C" w:rsidRDefault="00F24FCD" w:rsidP="00227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Forward Facing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FF4B6" w14:textId="77777777" w:rsid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Without Re-</w:t>
            </w:r>
            <w:r w:rsidR="00F24FCD"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Positioning</w:t>
            </w: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(28 TRP Measurements)</w:t>
            </w:r>
          </w:p>
          <w:p w14:paraId="7818C81F" w14:textId="66B0FCC2" w:rsidR="00F24FCD" w:rsidRPr="0022797C" w:rsidRDefault="00F24FCD" w:rsidP="00227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Forward and Backward Facing</w:t>
            </w:r>
          </w:p>
        </w:tc>
      </w:tr>
      <w:tr w:rsidR="0022797C" w:rsidRPr="0022797C" w14:paraId="11D62A65" w14:textId="77777777" w:rsidTr="0022797C">
        <w:trPr>
          <w:trHeight w:val="29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386C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P1-P7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6199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23.45GHz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06AB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B107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1.19</w:t>
            </w:r>
          </w:p>
        </w:tc>
      </w:tr>
      <w:tr w:rsidR="0022797C" w:rsidRPr="0022797C" w14:paraId="0D122209" w14:textId="77777777" w:rsidTr="0022797C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17CA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9BF1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32.125GHz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342E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BB6E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1.39</w:t>
            </w:r>
          </w:p>
        </w:tc>
      </w:tr>
      <w:tr w:rsidR="0022797C" w:rsidRPr="0022797C" w14:paraId="78C8EE33" w14:textId="77777777" w:rsidTr="0022797C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7A28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FD91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40.8GHz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5D86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99D9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1.55</w:t>
            </w:r>
          </w:p>
        </w:tc>
      </w:tr>
      <w:tr w:rsidR="0022797C" w:rsidRPr="0022797C" w14:paraId="6B631745" w14:textId="77777777" w:rsidTr="0022797C">
        <w:trPr>
          <w:trHeight w:val="29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0899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P1 only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A8FA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23.45GHz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5F08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7214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0.86</w:t>
            </w:r>
          </w:p>
        </w:tc>
      </w:tr>
      <w:tr w:rsidR="0022797C" w:rsidRPr="0022797C" w14:paraId="368054F0" w14:textId="77777777" w:rsidTr="0022797C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A023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321D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32.125GHz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3C62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37C4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0.84</w:t>
            </w:r>
          </w:p>
        </w:tc>
      </w:tr>
      <w:tr w:rsidR="0022797C" w:rsidRPr="0022797C" w14:paraId="33EC5595" w14:textId="77777777" w:rsidTr="0022797C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430A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DE40" w14:textId="77777777" w:rsidR="0022797C" w:rsidRPr="0022797C" w:rsidRDefault="0022797C" w:rsidP="0022797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40.8GHz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34C2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EBE4" w14:textId="77777777" w:rsidR="0022797C" w:rsidRPr="0022797C" w:rsidRDefault="0022797C" w:rsidP="002279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2797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0.75</w:t>
            </w:r>
          </w:p>
        </w:tc>
      </w:tr>
    </w:tbl>
    <w:p w14:paraId="2D05DC62" w14:textId="1F182FCE" w:rsidR="0022797C" w:rsidRDefault="003D3C73" w:rsidP="003D3C73">
      <w:pPr>
        <w:pStyle w:val="Caption"/>
      </w:pPr>
      <w:bookmarkStart w:id="6" w:name="_Ref114500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106FA">
        <w:rPr>
          <w:noProof/>
        </w:rPr>
        <w:t>2</w:t>
      </w:r>
      <w:r>
        <w:fldChar w:fldCharType="end"/>
      </w:r>
      <w:r>
        <w:t xml:space="preserve">: The MU of the QoQZ for spurious emissions is much </w:t>
      </w:r>
      <w:r w:rsidR="00E23132">
        <w:t>with</w:t>
      </w:r>
      <w:r>
        <w:t xml:space="preserve"> the re</w:t>
      </w:r>
      <w:r w:rsidR="00E23132">
        <w:t>-</w:t>
      </w:r>
      <w:r>
        <w:t xml:space="preserve">positioning approach </w:t>
      </w:r>
      <w:r w:rsidR="00E23132">
        <w:t>accepted when compared to not accepted.</w:t>
      </w:r>
      <w:bookmarkEnd w:id="6"/>
    </w:p>
    <w:p w14:paraId="51CAC72F" w14:textId="11544B9A" w:rsidR="005106FA" w:rsidRDefault="005106FA" w:rsidP="005106FA">
      <w:pPr>
        <w:pStyle w:val="Caption"/>
      </w:pPr>
      <w:bookmarkStart w:id="7" w:name="_Ref114500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A very large</w:t>
      </w:r>
      <w:r w:rsidR="00E23132">
        <w:t xml:space="preserve"> MU</w:t>
      </w:r>
      <w:r>
        <w:t xml:space="preserve"> impact should be expected for highly directive antennas</w:t>
      </w:r>
      <w:bookmarkEnd w:id="7"/>
      <w:r>
        <w:t xml:space="preserve"> </w:t>
      </w:r>
    </w:p>
    <w:p w14:paraId="3F357647" w14:textId="4D530F72" w:rsidR="005106FA" w:rsidRDefault="005106FA" w:rsidP="005106FA">
      <w:r>
        <w:t xml:space="preserve">Based on the observations made in this contribution, it is suggested to allow the re-positioning approach but not make it mandatory in case system vendors experience connectivity issues. The MU applied needs to match the approach followed by the lab. </w:t>
      </w:r>
    </w:p>
    <w:p w14:paraId="06845E10" w14:textId="07EEAEC0" w:rsidR="005106FA" w:rsidRDefault="005106FA" w:rsidP="005106FA">
      <w:pPr>
        <w:pStyle w:val="Caption"/>
      </w:pPr>
      <w:bookmarkStart w:id="8" w:name="_Ref114501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43656">
        <w:rPr>
          <w:noProof/>
        </w:rPr>
        <w:t>1</w:t>
      </w:r>
      <w:r>
        <w:fldChar w:fldCharType="end"/>
      </w:r>
      <w:r>
        <w:t>: Allow system vendors to follow the re-positioning approach for spurious emissions</w:t>
      </w:r>
      <w:r w:rsidR="00F43656">
        <w:t xml:space="preserve"> with the added risk of occasional connectivity problems but with much lower MU.</w:t>
      </w:r>
      <w:bookmarkEnd w:id="8"/>
      <w:r w:rsidR="00F43656">
        <w:t xml:space="preserve"> </w:t>
      </w:r>
    </w:p>
    <w:p w14:paraId="22E4E2ED" w14:textId="69E51FD2" w:rsidR="00F43656" w:rsidRDefault="00F43656" w:rsidP="00F43656">
      <w:pPr>
        <w:pStyle w:val="Caption"/>
      </w:pPr>
      <w:bookmarkStart w:id="9" w:name="_Ref114502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Allow system vendor</w:t>
      </w:r>
      <w:r w:rsidR="00E23132">
        <w:t>s</w:t>
      </w:r>
      <w:r>
        <w:t xml:space="preserve"> the flexibility to not follow the re-positioning approach while taking the increased MU into account.</w:t>
      </w:r>
      <w:bookmarkEnd w:id="9"/>
      <w:r>
        <w:t xml:space="preserve"> </w:t>
      </w:r>
    </w:p>
    <w:p w14:paraId="42C425C8" w14:textId="55A2A602" w:rsidR="00F43656" w:rsidRPr="00F43656" w:rsidRDefault="00F43656" w:rsidP="00F43656">
      <w:pPr>
        <w:pStyle w:val="Caption"/>
      </w:pPr>
      <w:bookmarkStart w:id="10" w:name="_Ref11450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Define a set of QoQZ procedures for spurious emissions with and without re-positioning approach</w:t>
      </w:r>
      <w:bookmarkEnd w:id="10"/>
    </w:p>
    <w:p w14:paraId="6D5AF5FA" w14:textId="69914991" w:rsidR="008B0529" w:rsidRDefault="0053435C" w:rsidP="0053435C">
      <w:pPr>
        <w:pStyle w:val="Heading1"/>
        <w:ind w:left="567" w:hanging="567"/>
      </w:pPr>
      <w:r>
        <w:t>Conclusion</w:t>
      </w:r>
    </w:p>
    <w:p w14:paraId="559B5DDF" w14:textId="19069DEE" w:rsidR="008B0529" w:rsidRDefault="0053435C" w:rsidP="008B0529">
      <w:r>
        <w:t xml:space="preserve">The following </w:t>
      </w:r>
      <w:r w:rsidR="00320D27">
        <w:t xml:space="preserve">observations and </w:t>
      </w:r>
      <w:r>
        <w:t>proposals were made in this contribution</w:t>
      </w:r>
    </w:p>
    <w:p w14:paraId="2DE56A3C" w14:textId="3FEFB025" w:rsidR="00F43656" w:rsidRPr="00E23132" w:rsidRDefault="00F43656" w:rsidP="008B0529">
      <w:pPr>
        <w:rPr>
          <w:b/>
        </w:rPr>
      </w:pPr>
      <w:r w:rsidRPr="00E23132">
        <w:rPr>
          <w:b/>
        </w:rPr>
        <w:fldChar w:fldCharType="begin"/>
      </w:r>
      <w:r w:rsidRPr="00E23132">
        <w:rPr>
          <w:b/>
        </w:rPr>
        <w:instrText xml:space="preserve"> REF _Ref1144995 \h </w:instrText>
      </w:r>
      <w:r w:rsidRPr="00E23132">
        <w:rPr>
          <w:b/>
        </w:rPr>
      </w:r>
      <w:r w:rsidRPr="00E23132">
        <w:rPr>
          <w:b/>
        </w:rPr>
        <w:instrText xml:space="preserve"> \* MERGEFORMAT </w:instrText>
      </w:r>
      <w:r w:rsidRPr="00E23132">
        <w:rPr>
          <w:b/>
        </w:rPr>
        <w:fldChar w:fldCharType="separate"/>
      </w:r>
      <w:r w:rsidR="00E23132" w:rsidRPr="00E23132">
        <w:rPr>
          <w:b/>
        </w:rPr>
        <w:t xml:space="preserve">Observation </w:t>
      </w:r>
      <w:r w:rsidR="00E23132" w:rsidRPr="00E23132">
        <w:rPr>
          <w:b/>
          <w:noProof/>
        </w:rPr>
        <w:t>1</w:t>
      </w:r>
      <w:r w:rsidR="00E23132" w:rsidRPr="00E23132">
        <w:rPr>
          <w:b/>
        </w:rPr>
        <w:t xml:space="preserve">: </w:t>
      </w:r>
      <w:r w:rsidR="00E23132" w:rsidRPr="00E23132">
        <w:rPr>
          <w:b/>
        </w:rPr>
        <w:t>Suitable link antenna implementations should remedy th</w:t>
      </w:r>
      <w:r w:rsidR="00E23132" w:rsidRPr="00E23132">
        <w:rPr>
          <w:b/>
        </w:rPr>
        <w:t>e</w:t>
      </w:r>
      <w:r w:rsidR="00E23132" w:rsidRPr="00E23132">
        <w:rPr>
          <w:b/>
        </w:rPr>
        <w:t xml:space="preserve"> connectivity proble</w:t>
      </w:r>
      <w:r w:rsidR="00E23132" w:rsidRPr="00E23132">
        <w:rPr>
          <w:b/>
        </w:rPr>
        <w:t>m highlighted as the reaso</w:t>
      </w:r>
      <w:bookmarkStart w:id="11" w:name="_GoBack"/>
      <w:bookmarkEnd w:id="11"/>
      <w:r w:rsidR="00E23132" w:rsidRPr="00E23132">
        <w:rPr>
          <w:b/>
        </w:rPr>
        <w:t>n against the re-positioning approach</w:t>
      </w:r>
      <w:r w:rsidRPr="00E23132">
        <w:rPr>
          <w:b/>
        </w:rPr>
        <w:fldChar w:fldCharType="end"/>
      </w:r>
    </w:p>
    <w:p w14:paraId="39ABEEFF" w14:textId="40372070" w:rsidR="00F43656" w:rsidRPr="00E23132" w:rsidRDefault="00F43656" w:rsidP="008B0529">
      <w:pPr>
        <w:rPr>
          <w:b/>
        </w:rPr>
      </w:pPr>
      <w:r w:rsidRPr="00E23132">
        <w:rPr>
          <w:b/>
        </w:rPr>
        <w:fldChar w:fldCharType="begin"/>
      </w:r>
      <w:r w:rsidRPr="00E23132">
        <w:rPr>
          <w:b/>
        </w:rPr>
        <w:instrText xml:space="preserve"> REF _Ref1145000 \h </w:instrText>
      </w:r>
      <w:r w:rsidRPr="00E23132">
        <w:rPr>
          <w:b/>
        </w:rPr>
      </w:r>
      <w:r w:rsidRPr="00E23132">
        <w:rPr>
          <w:b/>
        </w:rPr>
        <w:instrText xml:space="preserve"> \* MERGEFORMAT </w:instrText>
      </w:r>
      <w:r w:rsidRPr="00E23132">
        <w:rPr>
          <w:b/>
        </w:rPr>
        <w:fldChar w:fldCharType="separate"/>
      </w:r>
      <w:r w:rsidR="00E23132" w:rsidRPr="00E23132">
        <w:rPr>
          <w:b/>
        </w:rPr>
        <w:t xml:space="preserve">Observation </w:t>
      </w:r>
      <w:r w:rsidR="00E23132" w:rsidRPr="00E23132">
        <w:rPr>
          <w:b/>
          <w:noProof/>
        </w:rPr>
        <w:t>2</w:t>
      </w:r>
      <w:r w:rsidR="00E23132" w:rsidRPr="00E23132">
        <w:rPr>
          <w:b/>
        </w:rPr>
        <w:t>: The MU of the QoQZ for spurious emissions is much with the re-positioning approach accepted when compared to not accepted.</w:t>
      </w:r>
      <w:r w:rsidRPr="00E23132">
        <w:rPr>
          <w:b/>
        </w:rPr>
        <w:fldChar w:fldCharType="end"/>
      </w:r>
    </w:p>
    <w:p w14:paraId="2FFCABDC" w14:textId="161E247B" w:rsidR="00F43656" w:rsidRPr="00E23132" w:rsidRDefault="00F43656" w:rsidP="008B0529">
      <w:pPr>
        <w:rPr>
          <w:b/>
        </w:rPr>
      </w:pPr>
      <w:r w:rsidRPr="00E23132">
        <w:rPr>
          <w:b/>
        </w:rPr>
        <w:fldChar w:fldCharType="begin"/>
      </w:r>
      <w:r w:rsidRPr="00E23132">
        <w:rPr>
          <w:b/>
        </w:rPr>
        <w:instrText xml:space="preserve"> REF _Ref1145007 \h </w:instrText>
      </w:r>
      <w:r w:rsidRPr="00E23132">
        <w:rPr>
          <w:b/>
        </w:rPr>
      </w:r>
      <w:r w:rsidRPr="00E23132">
        <w:rPr>
          <w:b/>
        </w:rPr>
        <w:instrText xml:space="preserve"> \* MERGEFORMAT </w:instrText>
      </w:r>
      <w:r w:rsidRPr="00E23132">
        <w:rPr>
          <w:b/>
        </w:rPr>
        <w:fldChar w:fldCharType="separate"/>
      </w:r>
      <w:r w:rsidR="00E23132" w:rsidRPr="00E23132">
        <w:rPr>
          <w:b/>
        </w:rPr>
        <w:t xml:space="preserve">Observation </w:t>
      </w:r>
      <w:r w:rsidR="00E23132" w:rsidRPr="00E23132">
        <w:rPr>
          <w:b/>
          <w:noProof/>
        </w:rPr>
        <w:t>3</w:t>
      </w:r>
      <w:r w:rsidR="00E23132" w:rsidRPr="00E23132">
        <w:rPr>
          <w:b/>
        </w:rPr>
        <w:t>: A very large MU impact should be expected for highly directive antennas</w:t>
      </w:r>
      <w:r w:rsidRPr="00E23132">
        <w:rPr>
          <w:b/>
        </w:rPr>
        <w:fldChar w:fldCharType="end"/>
      </w:r>
    </w:p>
    <w:p w14:paraId="60494BE3" w14:textId="2092C6A3" w:rsidR="00F43656" w:rsidRPr="00E23132" w:rsidRDefault="00F43656" w:rsidP="008B0529">
      <w:pPr>
        <w:rPr>
          <w:b/>
        </w:rPr>
      </w:pPr>
      <w:r w:rsidRPr="00E23132">
        <w:rPr>
          <w:b/>
        </w:rPr>
        <w:fldChar w:fldCharType="begin"/>
      </w:r>
      <w:r w:rsidRPr="00E23132">
        <w:rPr>
          <w:b/>
        </w:rPr>
        <w:instrText xml:space="preserve"> REF _Ref1145017 \h </w:instrText>
      </w:r>
      <w:r w:rsidRPr="00E23132">
        <w:rPr>
          <w:b/>
        </w:rPr>
      </w:r>
      <w:r w:rsidRPr="00E23132">
        <w:rPr>
          <w:b/>
        </w:rPr>
        <w:instrText xml:space="preserve"> \* MERGEFORMAT </w:instrText>
      </w:r>
      <w:r w:rsidRPr="00E23132">
        <w:rPr>
          <w:b/>
        </w:rPr>
        <w:fldChar w:fldCharType="separate"/>
      </w:r>
      <w:r w:rsidR="00E23132" w:rsidRPr="00E23132">
        <w:rPr>
          <w:b/>
        </w:rPr>
        <w:t xml:space="preserve">Proposal </w:t>
      </w:r>
      <w:r w:rsidR="00E23132" w:rsidRPr="00E23132">
        <w:rPr>
          <w:b/>
          <w:noProof/>
        </w:rPr>
        <w:t>1</w:t>
      </w:r>
      <w:r w:rsidR="00E23132" w:rsidRPr="00E23132">
        <w:rPr>
          <w:b/>
        </w:rPr>
        <w:t>: Allow system vendors to follow the re-positioning approach for spurious emissions with the added risk of occasional connectivity problems but with much lower MU.</w:t>
      </w:r>
      <w:r w:rsidRPr="00E23132">
        <w:rPr>
          <w:b/>
        </w:rPr>
        <w:fldChar w:fldCharType="end"/>
      </w:r>
    </w:p>
    <w:p w14:paraId="655414BB" w14:textId="3E009643" w:rsidR="00F43656" w:rsidRPr="00E23132" w:rsidRDefault="00F43656" w:rsidP="008B0529">
      <w:pPr>
        <w:rPr>
          <w:b/>
        </w:rPr>
      </w:pPr>
      <w:r w:rsidRPr="00E23132">
        <w:rPr>
          <w:b/>
        </w:rPr>
        <w:fldChar w:fldCharType="begin"/>
      </w:r>
      <w:r w:rsidRPr="00E23132">
        <w:rPr>
          <w:b/>
        </w:rPr>
        <w:instrText xml:space="preserve"> REF _Ref1145022 \h </w:instrText>
      </w:r>
      <w:r w:rsidRPr="00E23132">
        <w:rPr>
          <w:b/>
        </w:rPr>
      </w:r>
      <w:r w:rsidRPr="00E23132">
        <w:rPr>
          <w:b/>
        </w:rPr>
        <w:instrText xml:space="preserve"> \* MERGEFORMAT </w:instrText>
      </w:r>
      <w:r w:rsidRPr="00E23132">
        <w:rPr>
          <w:b/>
        </w:rPr>
        <w:fldChar w:fldCharType="separate"/>
      </w:r>
      <w:r w:rsidR="00E23132" w:rsidRPr="00E23132">
        <w:rPr>
          <w:b/>
        </w:rPr>
        <w:t xml:space="preserve">Proposal </w:t>
      </w:r>
      <w:r w:rsidR="00E23132" w:rsidRPr="00E23132">
        <w:rPr>
          <w:b/>
          <w:noProof/>
        </w:rPr>
        <w:t>2</w:t>
      </w:r>
      <w:r w:rsidR="00E23132" w:rsidRPr="00E23132">
        <w:rPr>
          <w:b/>
        </w:rPr>
        <w:t>: Allow system vendors the flexibility to not follow the re-positioning approach while taking the increased MU into account.</w:t>
      </w:r>
      <w:r w:rsidRPr="00E23132">
        <w:rPr>
          <w:b/>
        </w:rPr>
        <w:fldChar w:fldCharType="end"/>
      </w:r>
    </w:p>
    <w:p w14:paraId="217E6C12" w14:textId="0A07FEF1" w:rsidR="00F43656" w:rsidRPr="00E23132" w:rsidRDefault="00F43656" w:rsidP="008B0529">
      <w:pPr>
        <w:rPr>
          <w:b/>
        </w:rPr>
      </w:pPr>
      <w:r w:rsidRPr="00E23132">
        <w:rPr>
          <w:b/>
        </w:rPr>
        <w:fldChar w:fldCharType="begin"/>
      </w:r>
      <w:r w:rsidRPr="00E23132">
        <w:rPr>
          <w:b/>
        </w:rPr>
        <w:instrText xml:space="preserve"> REF _Ref1145027 \h </w:instrText>
      </w:r>
      <w:r w:rsidRPr="00E23132">
        <w:rPr>
          <w:b/>
        </w:rPr>
      </w:r>
      <w:r w:rsidRPr="00E23132">
        <w:rPr>
          <w:b/>
        </w:rPr>
        <w:instrText xml:space="preserve"> \* MERGEFORMAT </w:instrText>
      </w:r>
      <w:r w:rsidRPr="00E23132">
        <w:rPr>
          <w:b/>
        </w:rPr>
        <w:fldChar w:fldCharType="separate"/>
      </w:r>
      <w:r w:rsidR="00E23132" w:rsidRPr="00E23132">
        <w:rPr>
          <w:b/>
        </w:rPr>
        <w:t xml:space="preserve">Proposal </w:t>
      </w:r>
      <w:r w:rsidR="00E23132" w:rsidRPr="00E23132">
        <w:rPr>
          <w:b/>
          <w:noProof/>
        </w:rPr>
        <w:t>3</w:t>
      </w:r>
      <w:r w:rsidR="00E23132" w:rsidRPr="00E23132">
        <w:rPr>
          <w:b/>
        </w:rPr>
        <w:t>: Define a set of QoQZ procedures for spurious emissions with and without re-positioning approach</w:t>
      </w:r>
      <w:r w:rsidRPr="00E23132">
        <w:rPr>
          <w:b/>
        </w:rPr>
        <w:fldChar w:fldCharType="end"/>
      </w:r>
    </w:p>
    <w:p w14:paraId="446D1D2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9039B7D" w14:textId="6422DC2B" w:rsidR="004F374D" w:rsidRDefault="004F374D" w:rsidP="004F374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521398402"/>
      <w:bookmarkStart w:id="13" w:name="_Ref520225792"/>
      <w:bookmarkStart w:id="14" w:name="_Hlk528392332"/>
      <w:r w:rsidRPr="00215AF4">
        <w:t>TR 38.810</w:t>
      </w:r>
      <w:r>
        <w:t xml:space="preserve">, </w:t>
      </w:r>
      <w:r w:rsidRPr="00215AF4">
        <w:t>Study on test methods for New Radio</w:t>
      </w:r>
      <w:r w:rsidR="00E642B3">
        <w:t>, V16.</w:t>
      </w:r>
      <w:r w:rsidR="00586E16">
        <w:t>1.0 (2018-12</w:t>
      </w:r>
      <w:r>
        <w:t>)</w:t>
      </w:r>
      <w:bookmarkEnd w:id="12"/>
    </w:p>
    <w:p w14:paraId="65263C62" w14:textId="71966817" w:rsidR="00FB7933" w:rsidRDefault="0067121D" w:rsidP="0067121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515198"/>
      <w:bookmarkStart w:id="16" w:name="_Ref1137222"/>
      <w:r w:rsidRPr="0067121D">
        <w:t>R5-190942</w:t>
      </w:r>
      <w:r w:rsidR="00586E16">
        <w:t xml:space="preserve">, </w:t>
      </w:r>
      <w:r w:rsidRPr="0067121D">
        <w:t>Way Forward on QoQZ Procedure for Spurious Emissions</w:t>
      </w:r>
      <w:r>
        <w:t>,</w:t>
      </w:r>
      <w:r w:rsidR="00586E16">
        <w:t xml:space="preserve"> </w:t>
      </w:r>
      <w:bookmarkEnd w:id="15"/>
      <w:r w:rsidRPr="0067121D">
        <w:t>Keysight Technologies, Rohde&amp;Schwarz, Anritsu</w:t>
      </w:r>
      <w:r>
        <w:t xml:space="preserve">, </w:t>
      </w:r>
      <w:r w:rsidRPr="0067121D">
        <w:t>3GPP TSG-RAN WG5 5G NR AH #4</w:t>
      </w:r>
      <w:r>
        <w:t>, January 2019</w:t>
      </w:r>
      <w:bookmarkEnd w:id="13"/>
      <w:bookmarkEnd w:id="14"/>
      <w:bookmarkEnd w:id="16"/>
    </w:p>
    <w:p w14:paraId="32243CE2" w14:textId="327684D9" w:rsidR="00086DA8" w:rsidRPr="00052390" w:rsidRDefault="00086DA8" w:rsidP="00086DA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534372346"/>
      <w:r w:rsidRPr="00A91664">
        <w:t>R5-185955</w:t>
      </w:r>
      <w:r>
        <w:t xml:space="preserve">, </w:t>
      </w:r>
      <w:r w:rsidRPr="00A91664">
        <w:t>Quality of Quiet Zone Results for IFF and 15cm Quiet Zone</w:t>
      </w:r>
      <w:r>
        <w:t xml:space="preserve">, </w:t>
      </w:r>
      <w:r w:rsidRPr="00A91664">
        <w:t>3GPPRAN5#3-5G-NR Adhoc</w:t>
      </w:r>
      <w:r>
        <w:t>, November 2018</w:t>
      </w:r>
      <w:bookmarkEnd w:id="17"/>
    </w:p>
    <w:sectPr w:rsidR="00086DA8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ED481" w14:textId="77777777" w:rsidR="00E15ED1" w:rsidRDefault="00E15ED1">
      <w:r>
        <w:separator/>
      </w:r>
    </w:p>
  </w:endnote>
  <w:endnote w:type="continuationSeparator" w:id="0">
    <w:p w14:paraId="7E89BC0B" w14:textId="77777777" w:rsidR="00E15ED1" w:rsidRDefault="00E15ED1">
      <w:r>
        <w:continuationSeparator/>
      </w:r>
    </w:p>
  </w:endnote>
  <w:endnote w:type="continuationNotice" w:id="1">
    <w:p w14:paraId="68C4EE3D" w14:textId="77777777" w:rsidR="00E15ED1" w:rsidRDefault="00E15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AF2F3" w14:textId="77777777" w:rsidR="00E15ED1" w:rsidRDefault="00E15ED1">
      <w:r>
        <w:separator/>
      </w:r>
    </w:p>
  </w:footnote>
  <w:footnote w:type="continuationSeparator" w:id="0">
    <w:p w14:paraId="7485A20A" w14:textId="77777777" w:rsidR="00E15ED1" w:rsidRDefault="00E15ED1">
      <w:r>
        <w:continuationSeparator/>
      </w:r>
    </w:p>
  </w:footnote>
  <w:footnote w:type="continuationNotice" w:id="1">
    <w:p w14:paraId="1B218949" w14:textId="77777777" w:rsidR="00E15ED1" w:rsidRDefault="00E15E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1"/>
  </w:num>
  <w:num w:numId="6">
    <w:abstractNumId w:val="12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21"/>
  </w:num>
  <w:num w:numId="12">
    <w:abstractNumId w:val="9"/>
  </w:num>
  <w:num w:numId="13">
    <w:abstractNumId w:val="20"/>
  </w:num>
  <w:num w:numId="14">
    <w:abstractNumId w:val="25"/>
  </w:num>
  <w:num w:numId="15">
    <w:abstractNumId w:val="8"/>
  </w:num>
  <w:num w:numId="16">
    <w:abstractNumId w:val="24"/>
  </w:num>
  <w:num w:numId="17">
    <w:abstractNumId w:val="5"/>
  </w:num>
  <w:num w:numId="18">
    <w:abstractNumId w:val="18"/>
  </w:num>
  <w:num w:numId="19">
    <w:abstractNumId w:val="14"/>
  </w:num>
  <w:num w:numId="20">
    <w:abstractNumId w:val="19"/>
  </w:num>
  <w:num w:numId="21">
    <w:abstractNumId w:val="23"/>
  </w:num>
  <w:num w:numId="22">
    <w:abstractNumId w:val="17"/>
  </w:num>
  <w:num w:numId="23">
    <w:abstractNumId w:val="15"/>
  </w:num>
  <w:num w:numId="24">
    <w:abstractNumId w:val="7"/>
  </w:num>
  <w:num w:numId="25">
    <w:abstractNumId w:val="3"/>
  </w:num>
  <w:num w:numId="26">
    <w:abstractNumId w:val="18"/>
  </w:num>
  <w:num w:numId="27">
    <w:abstractNumId w:val="18"/>
  </w:num>
  <w:num w:numId="28">
    <w:abstractNumId w:val="18"/>
  </w:num>
  <w:num w:numId="29">
    <w:abstractNumId w:val="13"/>
  </w:num>
  <w:num w:numId="30">
    <w:abstractNumId w:val="11"/>
  </w:num>
  <w:num w:numId="31">
    <w:abstractNumId w:val="2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6DA8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0F4379"/>
    <w:rsid w:val="00114DB9"/>
    <w:rsid w:val="001174D8"/>
    <w:rsid w:val="00121323"/>
    <w:rsid w:val="00122845"/>
    <w:rsid w:val="00124141"/>
    <w:rsid w:val="001258E2"/>
    <w:rsid w:val="00126404"/>
    <w:rsid w:val="0013001E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A52FD"/>
    <w:rsid w:val="001B2108"/>
    <w:rsid w:val="001B231F"/>
    <w:rsid w:val="001B6A72"/>
    <w:rsid w:val="001C00AA"/>
    <w:rsid w:val="001C0CFD"/>
    <w:rsid w:val="001C3A35"/>
    <w:rsid w:val="001C3CCB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155C"/>
    <w:rsid w:val="00212373"/>
    <w:rsid w:val="002138EA"/>
    <w:rsid w:val="00214FBD"/>
    <w:rsid w:val="00222897"/>
    <w:rsid w:val="0022419C"/>
    <w:rsid w:val="0022797C"/>
    <w:rsid w:val="00234D1C"/>
    <w:rsid w:val="00235394"/>
    <w:rsid w:val="0023581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F4093"/>
    <w:rsid w:val="002F5FAD"/>
    <w:rsid w:val="00300544"/>
    <w:rsid w:val="00306D8E"/>
    <w:rsid w:val="00307D2C"/>
    <w:rsid w:val="00313528"/>
    <w:rsid w:val="00320D27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D1D54"/>
    <w:rsid w:val="003D2C79"/>
    <w:rsid w:val="003D3C73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4225"/>
    <w:rsid w:val="0046266D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06FA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86E16"/>
    <w:rsid w:val="005908D2"/>
    <w:rsid w:val="00592F28"/>
    <w:rsid w:val="00593B56"/>
    <w:rsid w:val="005943B2"/>
    <w:rsid w:val="00595618"/>
    <w:rsid w:val="005A0EDD"/>
    <w:rsid w:val="005A195F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29B5"/>
    <w:rsid w:val="00665AD3"/>
    <w:rsid w:val="0067121D"/>
    <w:rsid w:val="00683EDA"/>
    <w:rsid w:val="006856E5"/>
    <w:rsid w:val="006937D0"/>
    <w:rsid w:val="00695755"/>
    <w:rsid w:val="00696BE5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C6444"/>
    <w:rsid w:val="006D132D"/>
    <w:rsid w:val="006D6B1F"/>
    <w:rsid w:val="006E45D9"/>
    <w:rsid w:val="006E63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1F4B"/>
    <w:rsid w:val="00774B17"/>
    <w:rsid w:val="007756A1"/>
    <w:rsid w:val="0078088D"/>
    <w:rsid w:val="00785D03"/>
    <w:rsid w:val="007927CF"/>
    <w:rsid w:val="00797994"/>
    <w:rsid w:val="007A4551"/>
    <w:rsid w:val="007A4F68"/>
    <w:rsid w:val="007A5139"/>
    <w:rsid w:val="007A6059"/>
    <w:rsid w:val="007B03C6"/>
    <w:rsid w:val="007B0584"/>
    <w:rsid w:val="007B5856"/>
    <w:rsid w:val="007C6DD8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4B80"/>
    <w:rsid w:val="007F4CAF"/>
    <w:rsid w:val="007F4CCC"/>
    <w:rsid w:val="007F5B12"/>
    <w:rsid w:val="007F62EA"/>
    <w:rsid w:val="007F7064"/>
    <w:rsid w:val="008013C7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244F"/>
    <w:rsid w:val="008428AB"/>
    <w:rsid w:val="008450F8"/>
    <w:rsid w:val="00845E55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0C86"/>
    <w:rsid w:val="008A1A84"/>
    <w:rsid w:val="008A6143"/>
    <w:rsid w:val="008B0529"/>
    <w:rsid w:val="008B5C74"/>
    <w:rsid w:val="008C2308"/>
    <w:rsid w:val="008C60E9"/>
    <w:rsid w:val="008C7836"/>
    <w:rsid w:val="008D7BED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3CC6"/>
    <w:rsid w:val="00984E5F"/>
    <w:rsid w:val="009913F6"/>
    <w:rsid w:val="00992B5F"/>
    <w:rsid w:val="00997D88"/>
    <w:rsid w:val="009B5A02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4CFE"/>
    <w:rsid w:val="00A76FB7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F3407"/>
    <w:rsid w:val="00AF5AD3"/>
    <w:rsid w:val="00B0589A"/>
    <w:rsid w:val="00B14BC8"/>
    <w:rsid w:val="00B17858"/>
    <w:rsid w:val="00B20C57"/>
    <w:rsid w:val="00B21D87"/>
    <w:rsid w:val="00B22ADA"/>
    <w:rsid w:val="00B334B9"/>
    <w:rsid w:val="00B36208"/>
    <w:rsid w:val="00B3769C"/>
    <w:rsid w:val="00B40D30"/>
    <w:rsid w:val="00B417E9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A05"/>
    <w:rsid w:val="00BE5CA5"/>
    <w:rsid w:val="00BE5CB9"/>
    <w:rsid w:val="00BF5875"/>
    <w:rsid w:val="00C050BC"/>
    <w:rsid w:val="00C050CF"/>
    <w:rsid w:val="00C06487"/>
    <w:rsid w:val="00C065DE"/>
    <w:rsid w:val="00C1494B"/>
    <w:rsid w:val="00C14DE6"/>
    <w:rsid w:val="00C16052"/>
    <w:rsid w:val="00C1643C"/>
    <w:rsid w:val="00C209B5"/>
    <w:rsid w:val="00C24A8D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5630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463C"/>
    <w:rsid w:val="00E077C9"/>
    <w:rsid w:val="00E11C02"/>
    <w:rsid w:val="00E13783"/>
    <w:rsid w:val="00E13E20"/>
    <w:rsid w:val="00E15ED1"/>
    <w:rsid w:val="00E21128"/>
    <w:rsid w:val="00E224FC"/>
    <w:rsid w:val="00E23132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3B6B"/>
    <w:rsid w:val="00EC6A1C"/>
    <w:rsid w:val="00ED5F47"/>
    <w:rsid w:val="00ED7922"/>
    <w:rsid w:val="00EE066A"/>
    <w:rsid w:val="00EE2605"/>
    <w:rsid w:val="00EE3A95"/>
    <w:rsid w:val="00EE5692"/>
    <w:rsid w:val="00EE6221"/>
    <w:rsid w:val="00EE7690"/>
    <w:rsid w:val="00EF011F"/>
    <w:rsid w:val="00EF325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4FCD"/>
    <w:rsid w:val="00F26554"/>
    <w:rsid w:val="00F30653"/>
    <w:rsid w:val="00F3413D"/>
    <w:rsid w:val="00F37710"/>
    <w:rsid w:val="00F43656"/>
    <w:rsid w:val="00F63B69"/>
    <w:rsid w:val="00F7184A"/>
    <w:rsid w:val="00F77EB0"/>
    <w:rsid w:val="00F81AC1"/>
    <w:rsid w:val="00F83415"/>
    <w:rsid w:val="00F91F8F"/>
    <w:rsid w:val="00FA0215"/>
    <w:rsid w:val="00FA35B4"/>
    <w:rsid w:val="00FB2CFC"/>
    <w:rsid w:val="00FB560E"/>
    <w:rsid w:val="00FB69E7"/>
    <w:rsid w:val="00FB7933"/>
    <w:rsid w:val="00FC051F"/>
    <w:rsid w:val="00FC5F9D"/>
    <w:rsid w:val="00FD16E0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01533F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6E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0" ma:contentTypeDescription="Create a new document." ma:contentTypeScope="" ma:versionID="63ea3380e8959d8826adac6c32f07b14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27a5bab7bbb5d56c81d39dbf537fecc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3DB48-E542-4D55-9B22-CB3DB01C22C3}">
  <ds:schemaRefs>
    <ds:schemaRef ds:uri="bdd78157-346c-4767-bfdd-352789a5c5f1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878f5c59-aec9-459c-acf8-8cf94147319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632CB9-CC14-4239-AB9C-864ECFAD0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9658D-6DEF-4691-8665-FA052E055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8FE0F4-502F-4CAA-9440-BDC5F91D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7291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2019-02-08T19:41:00Z</dcterms:created>
  <dcterms:modified xsi:type="dcterms:W3CDTF">2019-02-16T02:03:00Z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AuthorIds_UIVersion_512">
    <vt:lpwstr>6</vt:lpwstr>
  </property>
</Properties>
</file>